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81" w:rsidRPr="009D0236" w:rsidRDefault="005C701C" w:rsidP="00E64D81">
      <w:pPr>
        <w:pStyle w:val="Heading1"/>
        <w:rPr>
          <w:b/>
          <w:lang w:val="en-US"/>
        </w:rPr>
      </w:pPr>
      <w:r>
        <w:rPr>
          <w:noProof/>
          <w:lang w:eastAsia="en-GB"/>
        </w:rPr>
        <w:drawing>
          <wp:anchor distT="0" distB="0" distL="114300" distR="114300" simplePos="0" relativeHeight="251661312" behindDoc="0" locked="0" layoutInCell="1" allowOverlap="1" wp14:anchorId="0D21177B" wp14:editId="498E7631">
            <wp:simplePos x="0" y="0"/>
            <wp:positionH relativeFrom="margin">
              <wp:align>left</wp:align>
            </wp:positionH>
            <wp:positionV relativeFrom="paragraph">
              <wp:posOffset>186690</wp:posOffset>
            </wp:positionV>
            <wp:extent cx="3124200" cy="230124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FAA">
        <w:rPr>
          <w:lang w:val="en-US"/>
        </w:rPr>
        <w:t xml:space="preserve"> </w:t>
      </w:r>
      <w:r w:rsidR="00FF385D" w:rsidRPr="009D0236">
        <w:rPr>
          <w:b/>
          <w:lang w:val="en-US"/>
        </w:rPr>
        <w:t>Job Description</w:t>
      </w:r>
    </w:p>
    <w:tbl>
      <w:tblPr>
        <w:tblStyle w:val="TableGrid"/>
        <w:tblW w:w="0" w:type="auto"/>
        <w:tblLook w:val="04A0" w:firstRow="1" w:lastRow="0" w:firstColumn="1" w:lastColumn="0" w:noHBand="0" w:noVBand="1"/>
      </w:tblPr>
      <w:tblGrid>
        <w:gridCol w:w="3397"/>
        <w:gridCol w:w="2552"/>
        <w:gridCol w:w="3067"/>
      </w:tblGrid>
      <w:tr w:rsidR="00AD0FAA" w:rsidTr="00FF385D">
        <w:tc>
          <w:tcPr>
            <w:tcW w:w="3397" w:type="dxa"/>
          </w:tcPr>
          <w:p w:rsidR="00AD0FAA" w:rsidRPr="00FF385D" w:rsidRDefault="00FF385D" w:rsidP="00AD0FAA">
            <w:pPr>
              <w:rPr>
                <w:b/>
                <w:lang w:val="en-US"/>
              </w:rPr>
            </w:pPr>
            <w:r w:rsidRPr="00FF385D">
              <w:rPr>
                <w:b/>
                <w:lang w:val="en-US"/>
              </w:rPr>
              <w:t>Job Title:</w:t>
            </w:r>
          </w:p>
          <w:p w:rsidR="00FF385D" w:rsidRPr="00796581" w:rsidRDefault="00FF385D" w:rsidP="00AD0FAA">
            <w:pPr>
              <w:rPr>
                <w:sz w:val="24"/>
                <w:szCs w:val="24"/>
                <w:lang w:val="en-US"/>
              </w:rPr>
            </w:pPr>
            <w:r w:rsidRPr="00796581">
              <w:rPr>
                <w:sz w:val="24"/>
                <w:szCs w:val="24"/>
                <w:lang w:val="en-US"/>
              </w:rPr>
              <w:t>Thrive Support Worker</w:t>
            </w:r>
          </w:p>
        </w:tc>
        <w:tc>
          <w:tcPr>
            <w:tcW w:w="2552" w:type="dxa"/>
          </w:tcPr>
          <w:p w:rsidR="00FF385D" w:rsidRPr="00467ACE" w:rsidRDefault="000F0FA3" w:rsidP="00FF385D">
            <w:pPr>
              <w:rPr>
                <w:b/>
                <w:lang w:val="en-US"/>
              </w:rPr>
            </w:pPr>
            <w:r>
              <w:rPr>
                <w:b/>
                <w:lang w:val="en-US"/>
              </w:rPr>
              <w:t>Perm/C</w:t>
            </w:r>
            <w:r w:rsidR="00FF385D" w:rsidRPr="00467ACE">
              <w:rPr>
                <w:b/>
                <w:lang w:val="en-US"/>
              </w:rPr>
              <w:t xml:space="preserve">ontract: </w:t>
            </w:r>
          </w:p>
          <w:p w:rsidR="00AD0FAA" w:rsidRPr="00796581" w:rsidRDefault="00C55785" w:rsidP="00FF385D">
            <w:pPr>
              <w:rPr>
                <w:sz w:val="24"/>
                <w:szCs w:val="24"/>
                <w:lang w:val="en-US"/>
              </w:rPr>
            </w:pPr>
            <w:r>
              <w:rPr>
                <w:sz w:val="24"/>
                <w:szCs w:val="24"/>
                <w:lang w:val="en-US"/>
              </w:rPr>
              <w:t xml:space="preserve">Up to </w:t>
            </w:r>
            <w:r w:rsidR="00FF385D" w:rsidRPr="00796581">
              <w:rPr>
                <w:sz w:val="24"/>
                <w:szCs w:val="24"/>
                <w:lang w:val="en-US"/>
              </w:rPr>
              <w:t>3 year contract</w:t>
            </w:r>
          </w:p>
        </w:tc>
        <w:tc>
          <w:tcPr>
            <w:tcW w:w="3067" w:type="dxa"/>
          </w:tcPr>
          <w:p w:rsidR="00FF385D" w:rsidRPr="00467ACE" w:rsidRDefault="00FF385D" w:rsidP="00FF385D">
            <w:pPr>
              <w:rPr>
                <w:b/>
                <w:lang w:val="en-US"/>
              </w:rPr>
            </w:pPr>
            <w:r w:rsidRPr="00467ACE">
              <w:rPr>
                <w:b/>
                <w:lang w:val="en-US"/>
              </w:rPr>
              <w:t xml:space="preserve">Reports to: </w:t>
            </w:r>
          </w:p>
          <w:p w:rsidR="00AD0FAA" w:rsidRPr="00796581" w:rsidRDefault="00FF385D" w:rsidP="00FF385D">
            <w:pPr>
              <w:rPr>
                <w:sz w:val="24"/>
                <w:szCs w:val="24"/>
                <w:lang w:val="en-US"/>
              </w:rPr>
            </w:pPr>
            <w:r w:rsidRPr="00796581">
              <w:rPr>
                <w:sz w:val="24"/>
                <w:szCs w:val="24"/>
                <w:lang w:val="en-US"/>
              </w:rPr>
              <w:t>Thrive Service Coordinator</w:t>
            </w:r>
          </w:p>
        </w:tc>
      </w:tr>
      <w:tr w:rsidR="00AD0FAA" w:rsidTr="00FF385D">
        <w:tc>
          <w:tcPr>
            <w:tcW w:w="3397" w:type="dxa"/>
          </w:tcPr>
          <w:p w:rsidR="00AD0FAA" w:rsidRPr="00467ACE" w:rsidRDefault="00FF385D" w:rsidP="00AD0FAA">
            <w:pPr>
              <w:rPr>
                <w:b/>
                <w:lang w:val="en-US"/>
              </w:rPr>
            </w:pPr>
            <w:r>
              <w:rPr>
                <w:b/>
                <w:lang w:val="en-US"/>
              </w:rPr>
              <w:t>Based at:</w:t>
            </w:r>
            <w:r w:rsidR="00AD0FAA" w:rsidRPr="00467ACE">
              <w:rPr>
                <w:b/>
                <w:lang w:val="en-US"/>
              </w:rPr>
              <w:t xml:space="preserve"> </w:t>
            </w:r>
          </w:p>
          <w:p w:rsidR="00AD0FAA" w:rsidRPr="00796581" w:rsidRDefault="00FF385D" w:rsidP="00AD0FAA">
            <w:pPr>
              <w:rPr>
                <w:sz w:val="24"/>
                <w:szCs w:val="24"/>
                <w:lang w:val="en-US"/>
              </w:rPr>
            </w:pPr>
            <w:r w:rsidRPr="00796581">
              <w:rPr>
                <w:sz w:val="24"/>
                <w:szCs w:val="24"/>
                <w:lang w:val="en-US"/>
              </w:rPr>
              <w:t>Talbot House / Work from home</w:t>
            </w:r>
          </w:p>
        </w:tc>
        <w:tc>
          <w:tcPr>
            <w:tcW w:w="2552" w:type="dxa"/>
          </w:tcPr>
          <w:p w:rsidR="00467ACE" w:rsidRPr="00467ACE" w:rsidRDefault="00467ACE" w:rsidP="00467ACE">
            <w:pPr>
              <w:rPr>
                <w:b/>
                <w:lang w:val="en-US"/>
              </w:rPr>
            </w:pPr>
            <w:r w:rsidRPr="00467ACE">
              <w:rPr>
                <w:b/>
                <w:lang w:val="en-US"/>
              </w:rPr>
              <w:t xml:space="preserve">Hours: </w:t>
            </w:r>
          </w:p>
          <w:p w:rsidR="00AD0FAA" w:rsidRPr="00796581" w:rsidRDefault="00464BFB" w:rsidP="00AD0FAA">
            <w:pPr>
              <w:rPr>
                <w:sz w:val="24"/>
                <w:szCs w:val="24"/>
                <w:lang w:val="en-US"/>
              </w:rPr>
            </w:pPr>
            <w:r>
              <w:rPr>
                <w:sz w:val="24"/>
                <w:szCs w:val="24"/>
                <w:lang w:val="en-US"/>
              </w:rPr>
              <w:t>27.5</w:t>
            </w:r>
            <w:r w:rsidR="00467ACE" w:rsidRPr="00796581">
              <w:rPr>
                <w:sz w:val="24"/>
                <w:szCs w:val="24"/>
                <w:lang w:val="en-US"/>
              </w:rPr>
              <w:t xml:space="preserve"> hours per week</w:t>
            </w:r>
          </w:p>
        </w:tc>
        <w:tc>
          <w:tcPr>
            <w:tcW w:w="3067" w:type="dxa"/>
          </w:tcPr>
          <w:p w:rsidR="00467ACE" w:rsidRPr="00467ACE" w:rsidRDefault="00467ACE" w:rsidP="00467ACE">
            <w:pPr>
              <w:rPr>
                <w:b/>
                <w:lang w:val="en-US"/>
              </w:rPr>
            </w:pPr>
            <w:r w:rsidRPr="00467ACE">
              <w:rPr>
                <w:b/>
                <w:lang w:val="en-US"/>
              </w:rPr>
              <w:t xml:space="preserve">Salary: </w:t>
            </w:r>
          </w:p>
          <w:p w:rsidR="00AD0FAA" w:rsidRPr="00796581" w:rsidRDefault="00464BFB" w:rsidP="00467ACE">
            <w:pPr>
              <w:rPr>
                <w:sz w:val="24"/>
                <w:szCs w:val="24"/>
                <w:lang w:val="en-US"/>
              </w:rPr>
            </w:pPr>
            <w:r>
              <w:rPr>
                <w:sz w:val="24"/>
                <w:szCs w:val="24"/>
                <w:lang w:val="en-US"/>
              </w:rPr>
              <w:t>£15,015 / £10.50 per hour</w:t>
            </w:r>
          </w:p>
        </w:tc>
      </w:tr>
    </w:tbl>
    <w:p w:rsidR="005C701C" w:rsidRDefault="005C701C" w:rsidP="002935FE">
      <w:pPr>
        <w:pStyle w:val="Heading2"/>
        <w:rPr>
          <w:b/>
          <w:lang w:val="en-US"/>
        </w:rPr>
      </w:pPr>
    </w:p>
    <w:p w:rsidR="002935FE" w:rsidRPr="002935FE" w:rsidRDefault="002935FE" w:rsidP="002935FE">
      <w:pPr>
        <w:pStyle w:val="Heading2"/>
        <w:rPr>
          <w:b/>
          <w:lang w:val="en-US"/>
        </w:rPr>
      </w:pPr>
      <w:r w:rsidRPr="002935FE">
        <w:rPr>
          <w:b/>
          <w:lang w:val="en-US"/>
        </w:rPr>
        <w:t>About Us</w:t>
      </w:r>
    </w:p>
    <w:p w:rsidR="002935FE" w:rsidRPr="002935FE" w:rsidRDefault="005E4CFB" w:rsidP="002935FE">
      <w:pPr>
        <w:rPr>
          <w:lang w:val="en-US"/>
        </w:rPr>
      </w:pPr>
      <w:r>
        <w:rPr>
          <w:lang w:val="en-US"/>
        </w:rPr>
        <w:pict>
          <v:rect id="_x0000_i1025" style="width:0;height:1.5pt" o:hralign="center" o:hrstd="t" o:hr="t" fillcolor="#a0a0a0" stroked="f"/>
        </w:pict>
      </w:r>
    </w:p>
    <w:p w:rsidR="002935FE" w:rsidRDefault="002935FE" w:rsidP="002935FE">
      <w:pPr>
        <w:rPr>
          <w:rFonts w:cstheme="minorHAnsi"/>
        </w:rPr>
      </w:pPr>
      <w:r>
        <w:rPr>
          <w:lang w:val="en-US"/>
        </w:rPr>
        <w:t xml:space="preserve">At </w:t>
      </w:r>
      <w:r w:rsidRPr="00DF32C6">
        <w:rPr>
          <w:lang w:val="en-US"/>
        </w:rPr>
        <w:t>Talbot House</w:t>
      </w:r>
      <w:r>
        <w:rPr>
          <w:lang w:val="en-US"/>
        </w:rPr>
        <w:t xml:space="preserve"> we</w:t>
      </w:r>
      <w:r w:rsidRPr="00DF32C6">
        <w:rPr>
          <w:lang w:val="en-US"/>
        </w:rPr>
        <w:t xml:space="preserve"> provide </w:t>
      </w:r>
      <w:r>
        <w:rPr>
          <w:lang w:val="en-US"/>
        </w:rPr>
        <w:t xml:space="preserve">vital </w:t>
      </w:r>
      <w:r w:rsidRPr="00DF32C6">
        <w:rPr>
          <w:lang w:val="en-US"/>
        </w:rPr>
        <w:t>support service</w:t>
      </w:r>
      <w:r>
        <w:rPr>
          <w:lang w:val="en-US"/>
        </w:rPr>
        <w:t>s</w:t>
      </w:r>
      <w:r w:rsidRPr="00DF32C6">
        <w:rPr>
          <w:lang w:val="en-US"/>
        </w:rPr>
        <w:t xml:space="preserve"> for parents and unpaid carers of people with severe learning disabilities</w:t>
      </w:r>
      <w:r>
        <w:rPr>
          <w:lang w:val="en-US"/>
        </w:rPr>
        <w:t xml:space="preserve"> and complex needs</w:t>
      </w:r>
      <w:r w:rsidRPr="00DF32C6">
        <w:rPr>
          <w:lang w:val="en-US"/>
        </w:rPr>
        <w:t xml:space="preserve"> w</w:t>
      </w:r>
      <w:r>
        <w:rPr>
          <w:lang w:val="en-US"/>
        </w:rPr>
        <w:t xml:space="preserve">ho live in the Manchester area, delivered from our building in Newton Heath. </w:t>
      </w:r>
      <w:r w:rsidRPr="00DF32C6">
        <w:rPr>
          <w:lang w:val="en-US"/>
        </w:rPr>
        <w:t>We operate a user-led one-stop-shop service that has supported parents and carers of all age ranges and ethnic backgrounds for over 40 years</w:t>
      </w:r>
      <w:r>
        <w:rPr>
          <w:lang w:val="en-US"/>
        </w:rPr>
        <w:t xml:space="preserve"> (founded 1976)</w:t>
      </w:r>
      <w:r w:rsidRPr="00DF32C6">
        <w:rPr>
          <w:lang w:val="en-US"/>
        </w:rPr>
        <w:t xml:space="preserve">. </w:t>
      </w:r>
      <w:r w:rsidRPr="00DF32C6">
        <w:rPr>
          <w:rFonts w:cstheme="minorHAnsi"/>
        </w:rPr>
        <w:t xml:space="preserve">Our motto is “We begin, middle and end it” as Talbot House is there for parents and carers every step of the way. </w:t>
      </w:r>
      <w:r>
        <w:rPr>
          <w:rFonts w:cstheme="minorHAnsi"/>
        </w:rPr>
        <w:t>Our goal</w:t>
      </w:r>
      <w:r w:rsidRPr="007F00CA">
        <w:rPr>
          <w:rFonts w:cstheme="minorHAnsi"/>
        </w:rPr>
        <w:t xml:space="preserve"> is to </w:t>
      </w:r>
      <w:r>
        <w:rPr>
          <w:rFonts w:cstheme="minorHAnsi"/>
        </w:rPr>
        <w:t xml:space="preserve">provide essential </w:t>
      </w:r>
      <w:r w:rsidRPr="007F00CA">
        <w:rPr>
          <w:rFonts w:cstheme="minorHAnsi"/>
        </w:rPr>
        <w:t xml:space="preserve">support and be an advocate for our carers in getting the correct benefits, </w:t>
      </w:r>
      <w:r>
        <w:rPr>
          <w:rFonts w:cstheme="minorHAnsi"/>
        </w:rPr>
        <w:t xml:space="preserve">finding </w:t>
      </w:r>
      <w:r w:rsidRPr="007F00CA">
        <w:rPr>
          <w:rFonts w:cstheme="minorHAnsi"/>
        </w:rPr>
        <w:t xml:space="preserve">care services, help with form filling/letter writing, </w:t>
      </w:r>
      <w:r>
        <w:rPr>
          <w:rFonts w:cstheme="minorHAnsi"/>
        </w:rPr>
        <w:t xml:space="preserve">training for carers, </w:t>
      </w:r>
      <w:r w:rsidRPr="007F00CA">
        <w:rPr>
          <w:rFonts w:cstheme="minorHAnsi"/>
        </w:rPr>
        <w:t>along with</w:t>
      </w:r>
      <w:r>
        <w:rPr>
          <w:rFonts w:cstheme="minorHAnsi"/>
        </w:rPr>
        <w:t xml:space="preserve"> the</w:t>
      </w:r>
      <w:r w:rsidRPr="007F00CA">
        <w:rPr>
          <w:rFonts w:cstheme="minorHAnsi"/>
        </w:rPr>
        <w:t xml:space="preserve"> mental health</w:t>
      </w:r>
      <w:r>
        <w:rPr>
          <w:rFonts w:cstheme="minorHAnsi"/>
        </w:rPr>
        <w:t xml:space="preserve"> and wellbeing support that many carers of learning disabled people desperately need.</w:t>
      </w:r>
      <w:r w:rsidRPr="00DF32C6">
        <w:rPr>
          <w:rFonts w:cstheme="minorHAnsi"/>
        </w:rPr>
        <w:t xml:space="preserve"> </w:t>
      </w:r>
    </w:p>
    <w:p w:rsidR="00467ACE" w:rsidRPr="009D0236" w:rsidRDefault="00467ACE" w:rsidP="00467ACE">
      <w:pPr>
        <w:pStyle w:val="Heading2"/>
        <w:rPr>
          <w:b/>
          <w:lang w:val="en-US"/>
        </w:rPr>
      </w:pPr>
      <w:r w:rsidRPr="009D0236">
        <w:rPr>
          <w:b/>
          <w:lang w:val="en-US"/>
        </w:rPr>
        <w:t>About the Role</w:t>
      </w:r>
    </w:p>
    <w:p w:rsidR="00467ACE" w:rsidRPr="00467ACE" w:rsidRDefault="005E4CFB" w:rsidP="00467ACE">
      <w:pPr>
        <w:rPr>
          <w:lang w:val="en-US"/>
        </w:rPr>
      </w:pPr>
      <w:r>
        <w:rPr>
          <w:lang w:val="en-US"/>
        </w:rPr>
        <w:pict>
          <v:rect id="_x0000_i1026" style="width:0;height:1.5pt" o:hralign="center" o:hrstd="t" o:hr="t" fillcolor="#a0a0a0" stroked="f"/>
        </w:pict>
      </w:r>
    </w:p>
    <w:p w:rsidR="002935FE" w:rsidRPr="00D54099" w:rsidRDefault="002935FE" w:rsidP="002935FE">
      <w:r w:rsidRPr="001D69BB">
        <w:t xml:space="preserve">We are looking to recruit a dedicated and passionate person to join our expanded Thrive support team. </w:t>
      </w:r>
      <w:r w:rsidR="008277C4">
        <w:t>Our Thrive service was start</w:t>
      </w:r>
      <w:r w:rsidR="00DE5B65">
        <w:t>ed</w:t>
      </w:r>
      <w:r w:rsidR="008277C4">
        <w:t xml:space="preserve"> 6 years ago </w:t>
      </w:r>
      <w:r w:rsidR="00DE5B65">
        <w:t xml:space="preserve">with the goal </w:t>
      </w:r>
      <w:r w:rsidR="00DE5B65" w:rsidRPr="00BB0808">
        <w:t>to encourage older parent carers</w:t>
      </w:r>
      <w:r w:rsidR="00DE5B65">
        <w:t xml:space="preserve"> to plan for the future when it </w:t>
      </w:r>
      <w:r w:rsidR="00DE5B65" w:rsidRPr="00BB0808">
        <w:t xml:space="preserve">comes to caring for their learning disabled child, and to </w:t>
      </w:r>
      <w:r w:rsidR="00DE5B65" w:rsidRPr="00406037">
        <w:rPr>
          <w:i/>
        </w:rPr>
        <w:t>“Watch them thrive while I’m alive”</w:t>
      </w:r>
      <w:r w:rsidR="00DE5B65">
        <w:t xml:space="preserve">. </w:t>
      </w:r>
      <w:r w:rsidR="00DE5B65" w:rsidRPr="00BB0808">
        <w:t xml:space="preserve">We found from our </w:t>
      </w:r>
      <w:r w:rsidR="00DE5B65">
        <w:t>staff</w:t>
      </w:r>
      <w:r w:rsidR="00DE5B65" w:rsidRPr="00BB0808">
        <w:t xml:space="preserve"> and volunteers personal experience, and carer feedback, that as</w:t>
      </w:r>
      <w:r w:rsidR="00DE5B65">
        <w:t xml:space="preserve"> </w:t>
      </w:r>
      <w:r w:rsidR="00DE5B65" w:rsidRPr="00BB0808">
        <w:t xml:space="preserve">they, and their cared-for gets older they often find they start to struggle with the </w:t>
      </w:r>
      <w:r w:rsidR="00DE5B65">
        <w:t xml:space="preserve">physical, mental and emotional </w:t>
      </w:r>
      <w:r w:rsidR="00DE5B65" w:rsidRPr="00BB0808">
        <w:t>demands that</w:t>
      </w:r>
      <w:r w:rsidR="00DE5B65">
        <w:t xml:space="preserve"> </w:t>
      </w:r>
      <w:r w:rsidR="00DE5B65" w:rsidRPr="00BB0808">
        <w:t>come with looking after a</w:t>
      </w:r>
      <w:r w:rsidR="00DE5B65">
        <w:t xml:space="preserve"> learning</w:t>
      </w:r>
      <w:r w:rsidR="00DE5B65" w:rsidRPr="00BB0808">
        <w:t xml:space="preserve"> disabled person.</w:t>
      </w:r>
      <w:r w:rsidR="00DE5B65">
        <w:t xml:space="preserve"> Along with the distress of knowing that they will one day no longer be able to perform their caring duties when they are either physically or mentally incapable, or when they sadly pass away, and how this will impact the wellbeing of their disabled child. </w:t>
      </w:r>
      <w:r w:rsidRPr="001D69BB">
        <w:t>This</w:t>
      </w:r>
      <w:r w:rsidR="00DE5B65">
        <w:t xml:space="preserve"> new</w:t>
      </w:r>
      <w:r w:rsidRPr="001D69BB">
        <w:t xml:space="preserve"> support worker will have an important role to play in supporting our older parent carers and help them plan in a positive way for the future. You will be a dynamic team player with a real understanding of and empathy for older parent carers </w:t>
      </w:r>
      <w:r w:rsidRPr="001D69BB">
        <w:lastRenderedPageBreak/>
        <w:t xml:space="preserve">who have devoted a lifetime to caring for their child. </w:t>
      </w:r>
      <w:r>
        <w:t xml:space="preserve">This is </w:t>
      </w:r>
      <w:r>
        <w:rPr>
          <w:lang w:val="en-US"/>
        </w:rPr>
        <w:t>a challenging role which will require you to have excellent communication and empathetic skills, and be able to</w:t>
      </w:r>
      <w:r w:rsidRPr="0032277F">
        <w:t xml:space="preserve"> </w:t>
      </w:r>
      <w:r w:rsidRPr="001D69BB">
        <w:t xml:space="preserve">demonstrate patience, tact and </w:t>
      </w:r>
      <w:r>
        <w:t xml:space="preserve">sensitivity. </w:t>
      </w:r>
      <w:r>
        <w:rPr>
          <w:lang w:val="en-US"/>
        </w:rPr>
        <w:t>You will need good knowledge of the demands that come with caring for a learning disabled person and of the caring services and benefit systems that exist. The key objectives of the Thrive project are;</w:t>
      </w:r>
    </w:p>
    <w:p w:rsidR="002935FE" w:rsidRDefault="002935FE" w:rsidP="002935FE">
      <w:pPr>
        <w:pStyle w:val="ListParagraph"/>
        <w:numPr>
          <w:ilvl w:val="0"/>
          <w:numId w:val="12"/>
        </w:numPr>
        <w:rPr>
          <w:lang w:val="en-US"/>
        </w:rPr>
      </w:pPr>
      <w:r w:rsidRPr="000B021D">
        <w:rPr>
          <w:lang w:val="en-US"/>
        </w:rPr>
        <w:t>To begin a conversation with older parent cares, “What happens to my child in the future when I am no longer able to care for them”</w:t>
      </w:r>
    </w:p>
    <w:p w:rsidR="002935FE" w:rsidRDefault="002935FE" w:rsidP="002935FE">
      <w:pPr>
        <w:pStyle w:val="ListParagraph"/>
        <w:numPr>
          <w:ilvl w:val="0"/>
          <w:numId w:val="12"/>
        </w:numPr>
        <w:rPr>
          <w:lang w:val="en-US"/>
        </w:rPr>
      </w:pPr>
      <w:r>
        <w:rPr>
          <w:lang w:val="en-US"/>
        </w:rPr>
        <w:t>To raise awareness amongst older parent carers of the support available to them. Provide a safe and supportive environment where they can discuss their concerns about the future and explore solutions at their own pace.</w:t>
      </w:r>
    </w:p>
    <w:p w:rsidR="002935FE" w:rsidRDefault="002935FE" w:rsidP="002935FE">
      <w:pPr>
        <w:pStyle w:val="ListParagraph"/>
        <w:numPr>
          <w:ilvl w:val="0"/>
          <w:numId w:val="12"/>
        </w:numPr>
        <w:rPr>
          <w:lang w:val="en-US"/>
        </w:rPr>
      </w:pPr>
      <w:r>
        <w:rPr>
          <w:lang w:val="en-US"/>
        </w:rPr>
        <w:t>To offer timely and appropriate information and advice, and where needed/appropriate ensure that support is in place at time of crisis.</w:t>
      </w:r>
    </w:p>
    <w:p w:rsidR="002935FE" w:rsidRPr="000B021D" w:rsidRDefault="002935FE" w:rsidP="002935FE">
      <w:pPr>
        <w:pStyle w:val="ListParagraph"/>
        <w:numPr>
          <w:ilvl w:val="0"/>
          <w:numId w:val="12"/>
        </w:numPr>
        <w:rPr>
          <w:lang w:val="en-US"/>
        </w:rPr>
      </w:pPr>
      <w:r>
        <w:rPr>
          <w:lang w:val="en-US"/>
        </w:rPr>
        <w:t xml:space="preserve">To support older parent carers to develop a flexible and realistic plan for the future – this may include financial planning, creating wills, funeral planning, support arrangements for the cared for and carer etc.  </w:t>
      </w:r>
    </w:p>
    <w:p w:rsidR="00E64D81" w:rsidRPr="009D0236" w:rsidRDefault="00E64D81" w:rsidP="00BE197C">
      <w:pPr>
        <w:pStyle w:val="Heading2"/>
        <w:rPr>
          <w:b/>
          <w:lang w:val="en-US"/>
        </w:rPr>
      </w:pPr>
      <w:r w:rsidRPr="009D0236">
        <w:rPr>
          <w:b/>
          <w:lang w:val="en-US"/>
        </w:rPr>
        <w:t>Main Duties</w:t>
      </w:r>
    </w:p>
    <w:p w:rsidR="00BE197C" w:rsidRPr="00BE197C" w:rsidRDefault="005E4CFB" w:rsidP="00BE197C">
      <w:pPr>
        <w:rPr>
          <w:lang w:val="en-US"/>
        </w:rPr>
      </w:pPr>
      <w:r>
        <w:rPr>
          <w:lang w:val="en-US"/>
        </w:rPr>
        <w:pict>
          <v:rect id="_x0000_i1027" style="width:0;height:1.5pt" o:hralign="center" o:hrstd="t" o:hr="t" fillcolor="#a0a0a0" stroked="f"/>
        </w:pict>
      </w:r>
    </w:p>
    <w:p w:rsidR="005F6985" w:rsidRPr="005F6985" w:rsidRDefault="005F6985" w:rsidP="005F6985">
      <w:pPr>
        <w:numPr>
          <w:ilvl w:val="0"/>
          <w:numId w:val="2"/>
        </w:numPr>
        <w:spacing w:after="0" w:line="240" w:lineRule="auto"/>
        <w:rPr>
          <w:rFonts w:cstheme="minorHAnsi"/>
        </w:rPr>
      </w:pPr>
      <w:r w:rsidRPr="005F6985">
        <w:rPr>
          <w:rFonts w:cstheme="minorHAnsi"/>
        </w:rPr>
        <w:t>Supporting older parent carers at Talbot House and at external appointments as required.</w:t>
      </w:r>
    </w:p>
    <w:p w:rsidR="005F6985" w:rsidRDefault="005F6985" w:rsidP="005F6985">
      <w:pPr>
        <w:pStyle w:val="ListParagraph"/>
        <w:numPr>
          <w:ilvl w:val="0"/>
          <w:numId w:val="2"/>
        </w:numPr>
        <w:rPr>
          <w:lang w:val="en-US"/>
        </w:rPr>
      </w:pPr>
      <w:r>
        <w:rPr>
          <w:lang w:val="en-US"/>
        </w:rPr>
        <w:t>Provide one to one support and advice.</w:t>
      </w:r>
    </w:p>
    <w:p w:rsidR="005F6985" w:rsidRDefault="00BE197C" w:rsidP="005F6985">
      <w:pPr>
        <w:pStyle w:val="ListParagraph"/>
        <w:numPr>
          <w:ilvl w:val="0"/>
          <w:numId w:val="2"/>
        </w:numPr>
        <w:rPr>
          <w:lang w:val="en-US"/>
        </w:rPr>
      </w:pPr>
      <w:r>
        <w:rPr>
          <w:lang w:val="en-US"/>
        </w:rPr>
        <w:t>Write professional applications and reports for a variety of agencies.</w:t>
      </w:r>
    </w:p>
    <w:p w:rsidR="005F6985" w:rsidRDefault="005F6985" w:rsidP="005F6985">
      <w:pPr>
        <w:pStyle w:val="ListParagraph"/>
        <w:numPr>
          <w:ilvl w:val="0"/>
          <w:numId w:val="2"/>
        </w:numPr>
        <w:rPr>
          <w:lang w:val="en-US"/>
        </w:rPr>
      </w:pPr>
      <w:r w:rsidRPr="005F6985">
        <w:rPr>
          <w:lang w:val="en-US"/>
        </w:rPr>
        <w:t>Research and utilise other support services beneficial to service users.</w:t>
      </w:r>
    </w:p>
    <w:p w:rsidR="00BE197C" w:rsidRDefault="00BE197C" w:rsidP="00BE197C">
      <w:pPr>
        <w:pStyle w:val="ListParagraph"/>
        <w:numPr>
          <w:ilvl w:val="0"/>
          <w:numId w:val="2"/>
        </w:numPr>
        <w:rPr>
          <w:lang w:val="en-US"/>
        </w:rPr>
      </w:pPr>
      <w:r w:rsidRPr="00BE197C">
        <w:rPr>
          <w:lang w:val="en-US"/>
        </w:rPr>
        <w:t>Build productive working relationships with staff, volunteers and external organisations.</w:t>
      </w:r>
    </w:p>
    <w:p w:rsidR="00BA6F89" w:rsidRDefault="00BA6F89" w:rsidP="00BA6F89">
      <w:pPr>
        <w:pStyle w:val="ListParagraph"/>
        <w:numPr>
          <w:ilvl w:val="0"/>
          <w:numId w:val="2"/>
        </w:numPr>
        <w:rPr>
          <w:lang w:val="en-US"/>
        </w:rPr>
      </w:pPr>
      <w:r>
        <w:rPr>
          <w:lang w:val="en-US"/>
        </w:rPr>
        <w:t>Work with the Thrive coordinator and Talbot House staff to improve our service user experience.</w:t>
      </w:r>
    </w:p>
    <w:p w:rsidR="005F6985" w:rsidRDefault="00956108" w:rsidP="005F6985">
      <w:pPr>
        <w:pStyle w:val="ListParagraph"/>
        <w:numPr>
          <w:ilvl w:val="0"/>
          <w:numId w:val="2"/>
        </w:numPr>
        <w:rPr>
          <w:lang w:val="en-US"/>
        </w:rPr>
      </w:pPr>
      <w:r>
        <w:rPr>
          <w:lang w:val="en-US"/>
        </w:rPr>
        <w:t>To publicise the Thrive project and raise awareness.</w:t>
      </w:r>
    </w:p>
    <w:p w:rsidR="00117303" w:rsidRDefault="00117303" w:rsidP="005F6985">
      <w:pPr>
        <w:pStyle w:val="ListParagraph"/>
        <w:numPr>
          <w:ilvl w:val="0"/>
          <w:numId w:val="2"/>
        </w:numPr>
        <w:rPr>
          <w:lang w:val="en-US"/>
        </w:rPr>
      </w:pPr>
      <w:r>
        <w:rPr>
          <w:lang w:val="en-US"/>
        </w:rPr>
        <w:t xml:space="preserve">Support and take part in carer activities and events undertaken by Talbot House to promote carer wellbeing. </w:t>
      </w:r>
    </w:p>
    <w:p w:rsidR="005F6985" w:rsidRPr="005F6985" w:rsidRDefault="005F6985" w:rsidP="005F6985">
      <w:pPr>
        <w:pStyle w:val="ListParagraph"/>
        <w:numPr>
          <w:ilvl w:val="0"/>
          <w:numId w:val="2"/>
        </w:numPr>
        <w:rPr>
          <w:lang w:val="en-US"/>
        </w:rPr>
      </w:pPr>
      <w:r w:rsidRPr="005F6985">
        <w:rPr>
          <w:lang w:val="en-US"/>
        </w:rPr>
        <w:t>Assist with the supervision of volunteers.</w:t>
      </w:r>
    </w:p>
    <w:p w:rsidR="005F6985" w:rsidRDefault="00BE197C" w:rsidP="005F6985">
      <w:pPr>
        <w:pStyle w:val="ListParagraph"/>
        <w:numPr>
          <w:ilvl w:val="0"/>
          <w:numId w:val="2"/>
        </w:numPr>
        <w:rPr>
          <w:lang w:val="en-US"/>
        </w:rPr>
      </w:pPr>
      <w:r>
        <w:rPr>
          <w:lang w:val="en-US"/>
        </w:rPr>
        <w:t>Keep accurate records and ens</w:t>
      </w:r>
      <w:r w:rsidR="00030CFE">
        <w:rPr>
          <w:lang w:val="en-US"/>
        </w:rPr>
        <w:t>ure database is kept up to date, along with other IT systems.</w:t>
      </w:r>
    </w:p>
    <w:p w:rsidR="00030CFE" w:rsidRDefault="00030CFE" w:rsidP="005F6985">
      <w:pPr>
        <w:pStyle w:val="ListParagraph"/>
        <w:numPr>
          <w:ilvl w:val="0"/>
          <w:numId w:val="2"/>
        </w:numPr>
        <w:rPr>
          <w:lang w:val="en-US"/>
        </w:rPr>
      </w:pPr>
      <w:r>
        <w:rPr>
          <w:lang w:val="en-US"/>
        </w:rPr>
        <w:t>To undertake any other duties reasonably requested by the Manager.</w:t>
      </w:r>
    </w:p>
    <w:p w:rsidR="002935FE" w:rsidRPr="00160DDD" w:rsidRDefault="00956108" w:rsidP="00160DDD">
      <w:pPr>
        <w:pStyle w:val="Heading2"/>
        <w:rPr>
          <w:b/>
          <w:lang w:val="en-US"/>
        </w:rPr>
      </w:pPr>
      <w:r w:rsidRPr="00160DDD">
        <w:rPr>
          <w:b/>
          <w:lang w:val="en-US"/>
        </w:rPr>
        <w:t xml:space="preserve"> </w:t>
      </w:r>
      <w:r w:rsidR="002935FE" w:rsidRPr="00160DDD">
        <w:rPr>
          <w:b/>
          <w:lang w:val="en-US"/>
        </w:rPr>
        <w:t>Funding and Contract</w:t>
      </w:r>
    </w:p>
    <w:p w:rsidR="00CD112E" w:rsidRDefault="00C55785" w:rsidP="002935FE">
      <w:pPr>
        <w:rPr>
          <w:lang w:val="en-US"/>
        </w:rPr>
      </w:pPr>
      <w:r w:rsidRPr="004B04D7">
        <w:rPr>
          <w:b/>
          <w:noProof/>
          <w:lang w:eastAsia="en-GB"/>
        </w:rPr>
        <w:drawing>
          <wp:anchor distT="0" distB="0" distL="114300" distR="114300" simplePos="0" relativeHeight="251659264" behindDoc="0" locked="0" layoutInCell="1" allowOverlap="1" wp14:anchorId="7E7740EA" wp14:editId="400251A9">
            <wp:simplePos x="0" y="0"/>
            <wp:positionH relativeFrom="margin">
              <wp:posOffset>3852121</wp:posOffset>
            </wp:positionH>
            <wp:positionV relativeFrom="paragraph">
              <wp:posOffset>246168</wp:posOffset>
            </wp:positionV>
            <wp:extent cx="2269067" cy="1109646"/>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igital-whit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9067" cy="1109646"/>
                    </a:xfrm>
                    <a:prstGeom prst="rect">
                      <a:avLst/>
                    </a:prstGeom>
                  </pic:spPr>
                </pic:pic>
              </a:graphicData>
            </a:graphic>
            <wp14:sizeRelH relativeFrom="page">
              <wp14:pctWidth>0</wp14:pctWidth>
            </wp14:sizeRelH>
            <wp14:sizeRelV relativeFrom="page">
              <wp14:pctHeight>0</wp14:pctHeight>
            </wp14:sizeRelV>
          </wp:anchor>
        </w:drawing>
      </w:r>
      <w:r w:rsidR="005E4CFB">
        <w:rPr>
          <w:lang w:val="en-US"/>
        </w:rPr>
        <w:pict>
          <v:rect id="_x0000_i1028" style="width:0;height:1.5pt" o:hralign="center" o:hrstd="t" o:hr="t" fillcolor="#a0a0a0" stroked="f"/>
        </w:pict>
      </w:r>
    </w:p>
    <w:p w:rsidR="002935FE" w:rsidRDefault="00624AA2" w:rsidP="002935FE">
      <w:pPr>
        <w:rPr>
          <w:lang w:val="en-US"/>
        </w:rPr>
      </w:pPr>
      <w:r>
        <w:rPr>
          <w:lang w:val="en-US"/>
        </w:rPr>
        <w:t xml:space="preserve">This job vacancy is possible due to the fantastic support provided by The National Lottery. This is </w:t>
      </w:r>
      <w:r w:rsidR="002935FE">
        <w:rPr>
          <w:lang w:val="en-US"/>
        </w:rPr>
        <w:t xml:space="preserve">entirely funded by </w:t>
      </w:r>
      <w:r w:rsidR="002935FE" w:rsidRPr="0054051A">
        <w:rPr>
          <w:b/>
          <w:lang w:val="en-US"/>
        </w:rPr>
        <w:t>The National Lottery</w:t>
      </w:r>
      <w:r w:rsidR="002935FE">
        <w:rPr>
          <w:b/>
          <w:lang w:val="en-US"/>
        </w:rPr>
        <w:t xml:space="preserve"> Community Fund</w:t>
      </w:r>
      <w:r w:rsidR="002935FE" w:rsidRPr="0054051A">
        <w:rPr>
          <w:b/>
          <w:lang w:val="en-US"/>
        </w:rPr>
        <w:t xml:space="preserve"> </w:t>
      </w:r>
      <w:r w:rsidR="002935FE">
        <w:rPr>
          <w:lang w:val="en-US"/>
        </w:rPr>
        <w:t>for next 3 years starting from the 10</w:t>
      </w:r>
      <w:r w:rsidR="002935FE" w:rsidRPr="009D0236">
        <w:rPr>
          <w:vertAlign w:val="superscript"/>
          <w:lang w:val="en-US"/>
        </w:rPr>
        <w:t>th</w:t>
      </w:r>
      <w:r w:rsidR="002935FE">
        <w:rPr>
          <w:lang w:val="en-US"/>
        </w:rPr>
        <w:t xml:space="preserve"> August 2021.</w:t>
      </w:r>
      <w:r w:rsidR="00FF3071">
        <w:rPr>
          <w:lang w:val="en-US"/>
        </w:rPr>
        <w:t xml:space="preserve"> The</w:t>
      </w:r>
      <w:r>
        <w:rPr>
          <w:lang w:val="en-US"/>
        </w:rPr>
        <w:t xml:space="preserve"> success of </w:t>
      </w:r>
      <w:r w:rsidR="00C55785">
        <w:rPr>
          <w:lang w:val="en-US"/>
        </w:rPr>
        <w:t>this project</w:t>
      </w:r>
      <w:r>
        <w:rPr>
          <w:lang w:val="en-US"/>
        </w:rPr>
        <w:t xml:space="preserve"> i</w:t>
      </w:r>
      <w:r w:rsidR="00C55785">
        <w:rPr>
          <w:lang w:val="en-US"/>
        </w:rPr>
        <w:t>s reviewed after the first 6 months, and then</w:t>
      </w:r>
      <w:r w:rsidR="00FF3071">
        <w:rPr>
          <w:lang w:val="en-US"/>
        </w:rPr>
        <w:t xml:space="preserve"> every 12 months</w:t>
      </w:r>
      <w:r>
        <w:rPr>
          <w:lang w:val="en-US"/>
        </w:rPr>
        <w:t xml:space="preserve"> </w:t>
      </w:r>
      <w:r w:rsidR="00C55785">
        <w:rPr>
          <w:lang w:val="en-US"/>
        </w:rPr>
        <w:t>thereafter. T</w:t>
      </w:r>
      <w:r>
        <w:rPr>
          <w:lang w:val="en-US"/>
        </w:rPr>
        <w:t>herefore contracts are on that basis.</w:t>
      </w:r>
    </w:p>
    <w:p w:rsidR="00C55785" w:rsidRPr="00C55785" w:rsidRDefault="002935FE" w:rsidP="002935FE">
      <w:pPr>
        <w:rPr>
          <w:rStyle w:val="IntenseEmphasis"/>
          <w:b/>
          <w:i w:val="0"/>
          <w:color w:val="auto"/>
          <w:sz w:val="24"/>
          <w:szCs w:val="24"/>
        </w:rPr>
      </w:pPr>
      <w:r w:rsidRPr="00C55785">
        <w:rPr>
          <w:rStyle w:val="IntenseEmphasis"/>
          <w:b/>
          <w:i w:val="0"/>
          <w:color w:val="auto"/>
          <w:sz w:val="24"/>
          <w:szCs w:val="24"/>
        </w:rPr>
        <w:t>Closing date for application</w:t>
      </w:r>
      <w:r w:rsidR="005E4CFB">
        <w:rPr>
          <w:rStyle w:val="IntenseEmphasis"/>
          <w:b/>
          <w:i w:val="0"/>
          <w:color w:val="auto"/>
          <w:sz w:val="24"/>
          <w:szCs w:val="24"/>
        </w:rPr>
        <w:t xml:space="preserve"> = Friday </w:t>
      </w:r>
      <w:bookmarkStart w:id="0" w:name="_GoBack"/>
      <w:bookmarkEnd w:id="0"/>
      <w:r w:rsidR="005E4CFB">
        <w:rPr>
          <w:rStyle w:val="IntenseEmphasis"/>
          <w:b/>
          <w:i w:val="0"/>
          <w:color w:val="auto"/>
          <w:sz w:val="24"/>
          <w:szCs w:val="24"/>
        </w:rPr>
        <w:t>25</w:t>
      </w:r>
      <w:r w:rsidR="005E4CFB" w:rsidRPr="005E4CFB">
        <w:rPr>
          <w:rStyle w:val="IntenseEmphasis"/>
          <w:b/>
          <w:i w:val="0"/>
          <w:color w:val="auto"/>
          <w:sz w:val="24"/>
          <w:szCs w:val="24"/>
          <w:vertAlign w:val="superscript"/>
        </w:rPr>
        <w:t>th</w:t>
      </w:r>
      <w:r w:rsidR="005E4CFB">
        <w:rPr>
          <w:rStyle w:val="IntenseEmphasis"/>
          <w:b/>
          <w:i w:val="0"/>
          <w:color w:val="auto"/>
          <w:sz w:val="24"/>
          <w:szCs w:val="24"/>
        </w:rPr>
        <w:t xml:space="preserve"> June 2021</w:t>
      </w:r>
    </w:p>
    <w:p w:rsidR="002935FE" w:rsidRDefault="002935FE">
      <w:pPr>
        <w:rPr>
          <w:rFonts w:asciiTheme="majorHAnsi" w:eastAsiaTheme="majorEastAsia" w:hAnsiTheme="majorHAnsi" w:cstheme="majorBidi"/>
          <w:b/>
          <w:color w:val="2E74B5" w:themeColor="accent1" w:themeShade="BF"/>
          <w:sz w:val="26"/>
          <w:szCs w:val="26"/>
          <w:lang w:val="en-US"/>
        </w:rPr>
      </w:pPr>
      <w:r>
        <w:rPr>
          <w:b/>
          <w:lang w:val="en-US"/>
        </w:rPr>
        <w:br w:type="page"/>
      </w:r>
    </w:p>
    <w:p w:rsidR="00956108" w:rsidRPr="00D175A7" w:rsidRDefault="009D0236" w:rsidP="00D175A7">
      <w:pPr>
        <w:pStyle w:val="Heading1"/>
        <w:rPr>
          <w:b/>
          <w:lang w:val="en-US"/>
        </w:rPr>
      </w:pPr>
      <w:r w:rsidRPr="00D175A7">
        <w:rPr>
          <w:b/>
          <w:lang w:val="en-US"/>
        </w:rPr>
        <w:lastRenderedPageBreak/>
        <w:t>Person Specification</w:t>
      </w:r>
    </w:p>
    <w:p w:rsidR="00796581" w:rsidRPr="00796581" w:rsidRDefault="005E4CFB" w:rsidP="00796581">
      <w:pPr>
        <w:rPr>
          <w:lang w:val="en-US"/>
        </w:rPr>
      </w:pPr>
      <w:r>
        <w:rPr>
          <w:lang w:val="en-US"/>
        </w:rPr>
        <w:pict>
          <v:rect id="_x0000_i1029" style="width:0;height:1.5pt" o:hralign="center" o:hrstd="t" o:hr="t" fillcolor="#a0a0a0" stroked="f"/>
        </w:pict>
      </w:r>
    </w:p>
    <w:tbl>
      <w:tblPr>
        <w:tblStyle w:val="TableGrid"/>
        <w:tblW w:w="0" w:type="auto"/>
        <w:tblLayout w:type="fixed"/>
        <w:tblLook w:val="04A0" w:firstRow="1" w:lastRow="0" w:firstColumn="1" w:lastColumn="0" w:noHBand="0" w:noVBand="1"/>
      </w:tblPr>
      <w:tblGrid>
        <w:gridCol w:w="1696"/>
        <w:gridCol w:w="3119"/>
        <w:gridCol w:w="2835"/>
        <w:gridCol w:w="1366"/>
      </w:tblGrid>
      <w:tr w:rsidR="00163B77" w:rsidRPr="00163B77" w:rsidTr="00163B77">
        <w:tc>
          <w:tcPr>
            <w:tcW w:w="1696" w:type="dxa"/>
          </w:tcPr>
          <w:p w:rsidR="00BA6F89" w:rsidRPr="00163B77" w:rsidRDefault="00BA6F89" w:rsidP="00BA6F89">
            <w:pPr>
              <w:rPr>
                <w:b/>
                <w:color w:val="2E74B5" w:themeColor="accent1" w:themeShade="BF"/>
                <w:lang w:val="en-US"/>
              </w:rPr>
            </w:pPr>
          </w:p>
        </w:tc>
        <w:tc>
          <w:tcPr>
            <w:tcW w:w="3119" w:type="dxa"/>
          </w:tcPr>
          <w:p w:rsidR="00BA6F89" w:rsidRPr="00163B77" w:rsidRDefault="00BA6F89" w:rsidP="00BA6F89">
            <w:pPr>
              <w:rPr>
                <w:b/>
                <w:color w:val="2E74B5" w:themeColor="accent1" w:themeShade="BF"/>
                <w:lang w:val="en-US"/>
              </w:rPr>
            </w:pPr>
            <w:r w:rsidRPr="00163B77">
              <w:rPr>
                <w:b/>
                <w:color w:val="2E74B5" w:themeColor="accent1" w:themeShade="BF"/>
                <w:lang w:val="en-US"/>
              </w:rPr>
              <w:t>Essential</w:t>
            </w:r>
          </w:p>
        </w:tc>
        <w:tc>
          <w:tcPr>
            <w:tcW w:w="2835" w:type="dxa"/>
          </w:tcPr>
          <w:p w:rsidR="00BA6F89" w:rsidRPr="00163B77" w:rsidRDefault="00BA6F89" w:rsidP="00BA6F89">
            <w:pPr>
              <w:rPr>
                <w:b/>
                <w:color w:val="2E74B5" w:themeColor="accent1" w:themeShade="BF"/>
                <w:lang w:val="en-US"/>
              </w:rPr>
            </w:pPr>
            <w:r w:rsidRPr="00163B77">
              <w:rPr>
                <w:b/>
                <w:color w:val="2E74B5" w:themeColor="accent1" w:themeShade="BF"/>
                <w:lang w:val="en-US"/>
              </w:rPr>
              <w:t>Desirable</w:t>
            </w:r>
          </w:p>
        </w:tc>
        <w:tc>
          <w:tcPr>
            <w:tcW w:w="1366" w:type="dxa"/>
          </w:tcPr>
          <w:p w:rsidR="00BA6F89" w:rsidRPr="00163B77" w:rsidRDefault="00BA6F89" w:rsidP="00BA6F89">
            <w:pPr>
              <w:rPr>
                <w:b/>
                <w:color w:val="2E74B5" w:themeColor="accent1" w:themeShade="BF"/>
                <w:lang w:val="en-US"/>
              </w:rPr>
            </w:pPr>
            <w:r w:rsidRPr="00163B77">
              <w:rPr>
                <w:b/>
                <w:color w:val="2E74B5" w:themeColor="accent1" w:themeShade="BF"/>
                <w:lang w:val="en-US"/>
              </w:rPr>
              <w:t>Method of Assessment</w:t>
            </w:r>
          </w:p>
        </w:tc>
      </w:tr>
      <w:tr w:rsidR="00BA6F89" w:rsidTr="00163B77">
        <w:tc>
          <w:tcPr>
            <w:tcW w:w="1696" w:type="dxa"/>
          </w:tcPr>
          <w:p w:rsidR="00BA6F89" w:rsidRPr="00163B77" w:rsidRDefault="00BA6F89" w:rsidP="00BA6F89">
            <w:pPr>
              <w:rPr>
                <w:b/>
                <w:color w:val="2E74B5" w:themeColor="accent1" w:themeShade="BF"/>
                <w:lang w:val="en-US"/>
              </w:rPr>
            </w:pPr>
            <w:r w:rsidRPr="00163B77">
              <w:rPr>
                <w:b/>
                <w:color w:val="2E74B5" w:themeColor="accent1" w:themeShade="BF"/>
                <w:lang w:val="en-US"/>
              </w:rPr>
              <w:t>Education/ qualifications</w:t>
            </w:r>
          </w:p>
          <w:p w:rsidR="00BA6F89" w:rsidRPr="00163B77" w:rsidRDefault="00BA6F89" w:rsidP="00BA6F89">
            <w:pPr>
              <w:rPr>
                <w:b/>
                <w:color w:val="2E74B5" w:themeColor="accent1" w:themeShade="BF"/>
                <w:lang w:val="en-US"/>
              </w:rPr>
            </w:pPr>
            <w:r w:rsidRPr="00163B77">
              <w:rPr>
                <w:b/>
                <w:color w:val="2E74B5" w:themeColor="accent1" w:themeShade="BF"/>
                <w:lang w:val="en-US"/>
              </w:rPr>
              <w:t>Training</w:t>
            </w:r>
          </w:p>
        </w:tc>
        <w:tc>
          <w:tcPr>
            <w:tcW w:w="3119" w:type="dxa"/>
          </w:tcPr>
          <w:p w:rsidR="00BA6F89" w:rsidRDefault="00BA6F89" w:rsidP="00BA6F89">
            <w:pPr>
              <w:rPr>
                <w:lang w:val="en-US"/>
              </w:rPr>
            </w:pPr>
            <w:r>
              <w:rPr>
                <w:lang w:val="en-US"/>
              </w:rPr>
              <w:t>None</w:t>
            </w:r>
          </w:p>
        </w:tc>
        <w:tc>
          <w:tcPr>
            <w:tcW w:w="2835" w:type="dxa"/>
          </w:tcPr>
          <w:p w:rsidR="00BA6F89" w:rsidRDefault="00BA6F89" w:rsidP="00BA6F89">
            <w:pPr>
              <w:pStyle w:val="ListParagraph"/>
              <w:numPr>
                <w:ilvl w:val="0"/>
                <w:numId w:val="7"/>
              </w:numPr>
              <w:rPr>
                <w:lang w:val="en-US"/>
              </w:rPr>
            </w:pPr>
            <w:r w:rsidRPr="00BA6F89">
              <w:rPr>
                <w:lang w:val="en-US"/>
              </w:rPr>
              <w:t>Evidence of previous relevant training</w:t>
            </w:r>
          </w:p>
          <w:p w:rsidR="00163B77" w:rsidRPr="00247578" w:rsidRDefault="00BA6F89" w:rsidP="00247578">
            <w:pPr>
              <w:pStyle w:val="ListParagraph"/>
              <w:numPr>
                <w:ilvl w:val="0"/>
                <w:numId w:val="7"/>
              </w:numPr>
              <w:rPr>
                <w:lang w:val="en-US"/>
              </w:rPr>
            </w:pPr>
            <w:r>
              <w:rPr>
                <w:lang w:val="en-US"/>
              </w:rPr>
              <w:t>Advocacy or advice training</w:t>
            </w:r>
          </w:p>
        </w:tc>
        <w:tc>
          <w:tcPr>
            <w:tcW w:w="1366" w:type="dxa"/>
          </w:tcPr>
          <w:p w:rsidR="00BA6F89" w:rsidRDefault="00BA6F89" w:rsidP="00BA6F89">
            <w:pPr>
              <w:rPr>
                <w:lang w:val="en-US"/>
              </w:rPr>
            </w:pPr>
            <w:r>
              <w:rPr>
                <w:lang w:val="en-US"/>
              </w:rPr>
              <w:t>Application form</w:t>
            </w:r>
          </w:p>
        </w:tc>
      </w:tr>
      <w:tr w:rsidR="00BA6F89" w:rsidTr="00163B77">
        <w:tc>
          <w:tcPr>
            <w:tcW w:w="1696" w:type="dxa"/>
          </w:tcPr>
          <w:p w:rsidR="00BA6F89" w:rsidRPr="00163B77" w:rsidRDefault="00BA6F89" w:rsidP="00BA6F89">
            <w:pPr>
              <w:rPr>
                <w:b/>
                <w:color w:val="2E74B5" w:themeColor="accent1" w:themeShade="BF"/>
                <w:lang w:val="en-US"/>
              </w:rPr>
            </w:pPr>
            <w:r w:rsidRPr="00163B77">
              <w:rPr>
                <w:b/>
                <w:color w:val="2E74B5" w:themeColor="accent1" w:themeShade="BF"/>
                <w:lang w:val="en-US"/>
              </w:rPr>
              <w:t>Knowledge and Experience</w:t>
            </w:r>
          </w:p>
        </w:tc>
        <w:tc>
          <w:tcPr>
            <w:tcW w:w="3119" w:type="dxa"/>
          </w:tcPr>
          <w:p w:rsidR="009F14BA" w:rsidRPr="009F14BA" w:rsidRDefault="00247578" w:rsidP="009F14BA">
            <w:pPr>
              <w:numPr>
                <w:ilvl w:val="0"/>
                <w:numId w:val="8"/>
              </w:numPr>
              <w:rPr>
                <w:rFonts w:cstheme="minorHAnsi"/>
                <w:lang w:val="en-US"/>
              </w:rPr>
            </w:pPr>
            <w:r>
              <w:rPr>
                <w:rFonts w:cstheme="minorHAnsi"/>
                <w:lang w:val="en-US"/>
              </w:rPr>
              <w:t>Evidence of knowledge and experience of challenges faced by parent carers as they age</w:t>
            </w:r>
          </w:p>
          <w:p w:rsidR="00247578" w:rsidRDefault="00247578" w:rsidP="00247578">
            <w:pPr>
              <w:numPr>
                <w:ilvl w:val="0"/>
                <w:numId w:val="8"/>
              </w:numPr>
              <w:rPr>
                <w:rFonts w:cstheme="minorHAnsi"/>
                <w:lang w:val="en-US"/>
              </w:rPr>
            </w:pPr>
            <w:r>
              <w:rPr>
                <w:rFonts w:cstheme="minorHAnsi"/>
                <w:lang w:val="en-US"/>
              </w:rPr>
              <w:t>Broad understanding of learning disabilities and learning disability services</w:t>
            </w:r>
          </w:p>
          <w:p w:rsidR="00BF036D" w:rsidRPr="00BF036D" w:rsidRDefault="00BF036D" w:rsidP="00BF036D">
            <w:pPr>
              <w:pStyle w:val="ListParagraph"/>
              <w:numPr>
                <w:ilvl w:val="0"/>
                <w:numId w:val="8"/>
              </w:numPr>
              <w:rPr>
                <w:rFonts w:cstheme="minorHAnsi"/>
                <w:lang w:val="en-US"/>
              </w:rPr>
            </w:pPr>
            <w:r w:rsidRPr="00BF036D">
              <w:rPr>
                <w:rFonts w:cstheme="minorHAnsi"/>
                <w:lang w:val="en-US"/>
              </w:rPr>
              <w:t>Knowledge and understanding of diversity and equality issues</w:t>
            </w:r>
          </w:p>
        </w:tc>
        <w:tc>
          <w:tcPr>
            <w:tcW w:w="2835" w:type="dxa"/>
          </w:tcPr>
          <w:p w:rsidR="00BA6F89" w:rsidRDefault="00247578" w:rsidP="00BA6F89">
            <w:pPr>
              <w:numPr>
                <w:ilvl w:val="0"/>
                <w:numId w:val="9"/>
              </w:numPr>
              <w:rPr>
                <w:rFonts w:cstheme="minorHAnsi"/>
              </w:rPr>
            </w:pPr>
            <w:r w:rsidRPr="00247578">
              <w:rPr>
                <w:rFonts w:cstheme="minorHAnsi"/>
              </w:rPr>
              <w:t>Experience of supporting parent carers</w:t>
            </w:r>
            <w:r>
              <w:rPr>
                <w:rFonts w:cstheme="minorHAnsi"/>
              </w:rPr>
              <w:t>.</w:t>
            </w:r>
          </w:p>
          <w:p w:rsidR="00247578" w:rsidRDefault="00BF036D" w:rsidP="00BA6F89">
            <w:pPr>
              <w:numPr>
                <w:ilvl w:val="0"/>
                <w:numId w:val="9"/>
              </w:numPr>
              <w:rPr>
                <w:rFonts w:cstheme="minorHAnsi"/>
              </w:rPr>
            </w:pPr>
            <w:r>
              <w:rPr>
                <w:rFonts w:cstheme="minorHAnsi"/>
              </w:rPr>
              <w:t>Previous experience in a similar role.</w:t>
            </w:r>
          </w:p>
          <w:p w:rsidR="00C83A34" w:rsidRDefault="00C83A34" w:rsidP="00BA6F89">
            <w:pPr>
              <w:numPr>
                <w:ilvl w:val="0"/>
                <w:numId w:val="9"/>
              </w:numPr>
              <w:rPr>
                <w:rFonts w:cstheme="minorHAnsi"/>
              </w:rPr>
            </w:pPr>
            <w:r>
              <w:rPr>
                <w:rFonts w:cstheme="minorHAnsi"/>
              </w:rPr>
              <w:t>Lived experience of caring.</w:t>
            </w:r>
          </w:p>
          <w:p w:rsidR="00247578" w:rsidRPr="00247578" w:rsidRDefault="00247578" w:rsidP="00247578">
            <w:pPr>
              <w:ind w:left="360"/>
              <w:rPr>
                <w:rFonts w:cstheme="minorHAnsi"/>
              </w:rPr>
            </w:pPr>
          </w:p>
        </w:tc>
        <w:tc>
          <w:tcPr>
            <w:tcW w:w="1366" w:type="dxa"/>
          </w:tcPr>
          <w:p w:rsidR="00BA6F89" w:rsidRDefault="00BA6F89" w:rsidP="00BA6F89">
            <w:pPr>
              <w:rPr>
                <w:lang w:val="en-US"/>
              </w:rPr>
            </w:pPr>
            <w:r>
              <w:rPr>
                <w:lang w:val="en-US"/>
              </w:rPr>
              <w:t>Interview &amp; application form</w:t>
            </w:r>
          </w:p>
        </w:tc>
      </w:tr>
      <w:tr w:rsidR="00BA6F89" w:rsidTr="00163B77">
        <w:tc>
          <w:tcPr>
            <w:tcW w:w="1696" w:type="dxa"/>
          </w:tcPr>
          <w:p w:rsidR="00BA6F89" w:rsidRPr="00163B77" w:rsidRDefault="00163B77" w:rsidP="00BA6F89">
            <w:pPr>
              <w:rPr>
                <w:b/>
                <w:color w:val="2E74B5" w:themeColor="accent1" w:themeShade="BF"/>
                <w:lang w:val="en-US"/>
              </w:rPr>
            </w:pPr>
            <w:r w:rsidRPr="00163B77">
              <w:rPr>
                <w:b/>
                <w:color w:val="2E74B5" w:themeColor="accent1" w:themeShade="BF"/>
                <w:lang w:val="en-US"/>
              </w:rPr>
              <w:t>Skills and aptitude</w:t>
            </w:r>
          </w:p>
        </w:tc>
        <w:tc>
          <w:tcPr>
            <w:tcW w:w="3119" w:type="dxa"/>
          </w:tcPr>
          <w:p w:rsidR="00920086" w:rsidRDefault="00920086" w:rsidP="00247578">
            <w:pPr>
              <w:pStyle w:val="ListParagraph"/>
              <w:numPr>
                <w:ilvl w:val="0"/>
                <w:numId w:val="10"/>
              </w:numPr>
              <w:rPr>
                <w:lang w:val="en-US"/>
              </w:rPr>
            </w:pPr>
            <w:r>
              <w:rPr>
                <w:lang w:val="en-US"/>
              </w:rPr>
              <w:t>Effective IT skills using databases, Word, Excel etc.</w:t>
            </w:r>
          </w:p>
          <w:p w:rsidR="00163B77" w:rsidRDefault="00247578" w:rsidP="00247578">
            <w:pPr>
              <w:pStyle w:val="ListParagraph"/>
              <w:numPr>
                <w:ilvl w:val="0"/>
                <w:numId w:val="10"/>
              </w:numPr>
              <w:rPr>
                <w:lang w:val="en-US"/>
              </w:rPr>
            </w:pPr>
            <w:r>
              <w:rPr>
                <w:lang w:val="en-US"/>
              </w:rPr>
              <w:t>Evidence of strong organisational skills</w:t>
            </w:r>
          </w:p>
          <w:p w:rsidR="00247578" w:rsidRDefault="00247578" w:rsidP="00247578">
            <w:pPr>
              <w:pStyle w:val="ListParagraph"/>
              <w:numPr>
                <w:ilvl w:val="0"/>
                <w:numId w:val="10"/>
              </w:numPr>
              <w:rPr>
                <w:lang w:val="en-US"/>
              </w:rPr>
            </w:pPr>
            <w:r>
              <w:rPr>
                <w:lang w:val="en-US"/>
              </w:rPr>
              <w:t>Ability to manage own time and workload</w:t>
            </w:r>
          </w:p>
          <w:p w:rsidR="00247578" w:rsidRDefault="00247578" w:rsidP="00247578">
            <w:pPr>
              <w:pStyle w:val="ListParagraph"/>
              <w:numPr>
                <w:ilvl w:val="0"/>
                <w:numId w:val="10"/>
              </w:numPr>
              <w:rPr>
                <w:lang w:val="en-US"/>
              </w:rPr>
            </w:pPr>
            <w:r>
              <w:rPr>
                <w:lang w:val="en-US"/>
              </w:rPr>
              <w:t>Excellent verbal and written communication skills</w:t>
            </w:r>
          </w:p>
          <w:p w:rsidR="00247578" w:rsidRDefault="00247578" w:rsidP="00247578">
            <w:pPr>
              <w:pStyle w:val="ListParagraph"/>
              <w:numPr>
                <w:ilvl w:val="0"/>
                <w:numId w:val="10"/>
              </w:numPr>
              <w:rPr>
                <w:lang w:val="en-US"/>
              </w:rPr>
            </w:pPr>
            <w:r>
              <w:rPr>
                <w:lang w:val="en-US"/>
              </w:rPr>
              <w:t>Ability to demonstrate patience tact and empathy</w:t>
            </w:r>
          </w:p>
          <w:p w:rsidR="00247578" w:rsidRDefault="00BF036D" w:rsidP="00247578">
            <w:pPr>
              <w:pStyle w:val="ListParagraph"/>
              <w:numPr>
                <w:ilvl w:val="0"/>
                <w:numId w:val="10"/>
              </w:numPr>
              <w:rPr>
                <w:lang w:val="en-US"/>
              </w:rPr>
            </w:pPr>
            <w:r>
              <w:rPr>
                <w:lang w:val="en-US"/>
              </w:rPr>
              <w:t>Ability to work with a broad range of people.</w:t>
            </w:r>
          </w:p>
          <w:p w:rsidR="00BF036D" w:rsidRDefault="00BF036D" w:rsidP="00247578">
            <w:pPr>
              <w:pStyle w:val="ListParagraph"/>
              <w:numPr>
                <w:ilvl w:val="0"/>
                <w:numId w:val="10"/>
              </w:numPr>
              <w:rPr>
                <w:lang w:val="en-US"/>
              </w:rPr>
            </w:pPr>
            <w:r>
              <w:rPr>
                <w:lang w:val="en-US"/>
              </w:rPr>
              <w:t>Willingness to undertake training appropriate to the role.</w:t>
            </w:r>
          </w:p>
          <w:p w:rsidR="00BF036D" w:rsidRPr="00163B77" w:rsidRDefault="00BF036D" w:rsidP="00247578">
            <w:pPr>
              <w:pStyle w:val="ListParagraph"/>
              <w:numPr>
                <w:ilvl w:val="0"/>
                <w:numId w:val="10"/>
              </w:numPr>
              <w:rPr>
                <w:lang w:val="en-US"/>
              </w:rPr>
            </w:pPr>
            <w:r>
              <w:rPr>
                <w:lang w:val="en-US"/>
              </w:rPr>
              <w:t>Ability to work flexibly.</w:t>
            </w:r>
          </w:p>
        </w:tc>
        <w:tc>
          <w:tcPr>
            <w:tcW w:w="2835" w:type="dxa"/>
          </w:tcPr>
          <w:p w:rsidR="00BA6F89" w:rsidRDefault="000D6F6A" w:rsidP="00BF036D">
            <w:pPr>
              <w:pStyle w:val="ListParagraph"/>
              <w:numPr>
                <w:ilvl w:val="0"/>
                <w:numId w:val="10"/>
              </w:numPr>
              <w:rPr>
                <w:lang w:val="en-US"/>
              </w:rPr>
            </w:pPr>
            <w:r>
              <w:rPr>
                <w:lang w:val="en-US"/>
              </w:rPr>
              <w:t>Good knowledge and experience using social media platforms.</w:t>
            </w:r>
          </w:p>
          <w:p w:rsidR="000D6F6A" w:rsidRPr="00BF036D" w:rsidRDefault="000D6F6A" w:rsidP="00BF036D">
            <w:pPr>
              <w:pStyle w:val="ListParagraph"/>
              <w:numPr>
                <w:ilvl w:val="0"/>
                <w:numId w:val="10"/>
              </w:numPr>
              <w:rPr>
                <w:lang w:val="en-US"/>
              </w:rPr>
            </w:pPr>
            <w:r>
              <w:rPr>
                <w:lang w:val="en-US"/>
              </w:rPr>
              <w:t>Good presentation skills to promote service.</w:t>
            </w:r>
          </w:p>
        </w:tc>
        <w:tc>
          <w:tcPr>
            <w:tcW w:w="1366" w:type="dxa"/>
          </w:tcPr>
          <w:p w:rsidR="00BA6F89" w:rsidRDefault="00BF036D" w:rsidP="00BA6F89">
            <w:pPr>
              <w:rPr>
                <w:lang w:val="en-US"/>
              </w:rPr>
            </w:pPr>
            <w:r>
              <w:rPr>
                <w:lang w:val="en-US"/>
              </w:rPr>
              <w:t>Interview &amp; application form</w:t>
            </w:r>
          </w:p>
        </w:tc>
      </w:tr>
    </w:tbl>
    <w:p w:rsidR="00BA6F89" w:rsidRDefault="00BA6F89" w:rsidP="00BA6F89">
      <w:pPr>
        <w:rPr>
          <w:lang w:val="en-US"/>
        </w:rPr>
      </w:pPr>
    </w:p>
    <w:sectPr w:rsidR="00BA6F89" w:rsidSect="0029110C">
      <w:footerReference w:type="default" r:id="rId9"/>
      <w:headerReference w:type="first" r:id="rId10"/>
      <w:pgSz w:w="11906" w:h="16838"/>
      <w:pgMar w:top="1440" w:right="1440" w:bottom="426"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28" w:rsidRDefault="000D3128" w:rsidP="00F51919">
      <w:pPr>
        <w:spacing w:after="0" w:line="240" w:lineRule="auto"/>
      </w:pPr>
      <w:r>
        <w:separator/>
      </w:r>
    </w:p>
  </w:endnote>
  <w:endnote w:type="continuationSeparator" w:id="0">
    <w:p w:rsidR="000D3128" w:rsidRDefault="000D3128" w:rsidP="00F5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2" w:rsidRDefault="00624AA2" w:rsidP="00F51919">
    <w:pPr>
      <w:pStyle w:val="Footer"/>
      <w:ind w:left="-993"/>
    </w:pPr>
    <w:r>
      <w:rPr>
        <w:noProof/>
        <w:lang w:eastAsia="en-GB"/>
      </w:rPr>
      <w:drawing>
        <wp:anchor distT="0" distB="0" distL="114300" distR="114300" simplePos="0" relativeHeight="251661312" behindDoc="0" locked="0" layoutInCell="1" allowOverlap="0" wp14:anchorId="250F6521" wp14:editId="5AA75CAF">
          <wp:simplePos x="0" y="0"/>
          <wp:positionH relativeFrom="page">
            <wp:posOffset>-50800</wp:posOffset>
          </wp:positionH>
          <wp:positionV relativeFrom="bottomMargin">
            <wp:align>top</wp:align>
          </wp:positionV>
          <wp:extent cx="7580997" cy="1032510"/>
          <wp:effectExtent l="0" t="0" r="127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1"/>
                  <a:stretch>
                    <a:fillRect/>
                  </a:stretch>
                </pic:blipFill>
                <pic:spPr>
                  <a:xfrm>
                    <a:off x="0" y="0"/>
                    <a:ext cx="7580997" cy="1032510"/>
                  </a:xfrm>
                  <a:prstGeom prst="rect">
                    <a:avLst/>
                  </a:prstGeom>
                </pic:spPr>
              </pic:pic>
            </a:graphicData>
          </a:graphic>
          <wp14:sizeRelH relativeFrom="margin">
            <wp14:pctWidth>0</wp14:pctWidth>
          </wp14:sizeRelH>
        </wp:anchor>
      </w:drawing>
    </w:r>
  </w:p>
  <w:p w:rsidR="00624AA2" w:rsidRDefault="00624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28" w:rsidRDefault="000D3128" w:rsidP="00F51919">
      <w:pPr>
        <w:spacing w:after="0" w:line="240" w:lineRule="auto"/>
      </w:pPr>
      <w:r>
        <w:separator/>
      </w:r>
    </w:p>
  </w:footnote>
  <w:footnote w:type="continuationSeparator" w:id="0">
    <w:p w:rsidR="000D3128" w:rsidRDefault="000D3128" w:rsidP="00F5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2" w:rsidRPr="004B04D7" w:rsidRDefault="00624AA2" w:rsidP="004B04D7">
    <w:pPr>
      <w:pStyle w:val="NoSpacing"/>
      <w:rPr>
        <w:sz w:val="20"/>
        <w:szCs w:val="20"/>
      </w:rPr>
    </w:pPr>
    <w:r w:rsidRPr="004B04D7">
      <w:rPr>
        <w:noProof/>
        <w:sz w:val="20"/>
        <w:szCs w:val="20"/>
        <w:lang w:eastAsia="en-GB"/>
      </w:rPr>
      <w:drawing>
        <wp:anchor distT="0" distB="0" distL="114300" distR="114300" simplePos="0" relativeHeight="251663360" behindDoc="0" locked="0" layoutInCell="1" allowOverlap="0" wp14:anchorId="4F419A7A" wp14:editId="22D01669">
          <wp:simplePos x="0" y="0"/>
          <wp:positionH relativeFrom="page">
            <wp:align>left</wp:align>
          </wp:positionH>
          <wp:positionV relativeFrom="page">
            <wp:posOffset>62654</wp:posOffset>
          </wp:positionV>
          <wp:extent cx="7315200" cy="1434984"/>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298" name="Picture 1298"/>
                  <pic:cNvPicPr/>
                </pic:nvPicPr>
                <pic:blipFill>
                  <a:blip r:embed="rId1"/>
                  <a:stretch>
                    <a:fillRect/>
                  </a:stretch>
                </pic:blipFill>
                <pic:spPr>
                  <a:xfrm>
                    <a:off x="0" y="0"/>
                    <a:ext cx="7315200" cy="1434984"/>
                  </a:xfrm>
                  <a:prstGeom prst="rect">
                    <a:avLst/>
                  </a:prstGeom>
                </pic:spPr>
              </pic:pic>
            </a:graphicData>
          </a:graphic>
          <wp14:sizeRelV relativeFrom="margin">
            <wp14:pctHeight>0</wp14:pctHeight>
          </wp14:sizeRelV>
        </wp:anchor>
      </w:drawing>
    </w:r>
    <w:r w:rsidRPr="004B04D7">
      <w:rPr>
        <w:sz w:val="20"/>
        <w:szCs w:val="20"/>
      </w:rPr>
      <w:t>1 High Peak Street, Newton Heath, Manchester, M40 3AT Tel: 0161 203 4095 admin@talbot-house.org.uk</w:t>
    </w:r>
  </w:p>
  <w:p w:rsidR="00624AA2" w:rsidRPr="004B04D7" w:rsidRDefault="00624AA2" w:rsidP="004B04D7">
    <w:pPr>
      <w:pStyle w:val="NoSpacing"/>
      <w:rPr>
        <w:sz w:val="14"/>
        <w:szCs w:val="14"/>
      </w:rPr>
    </w:pPr>
    <w:r w:rsidRPr="004B04D7">
      <w:rPr>
        <w:sz w:val="14"/>
        <w:szCs w:val="14"/>
      </w:rPr>
      <w:t>Talbot House is a Registered Charity: Registered Charity no: 1132741 Talbot House is a company limited by guarantee. Limited company number: 7032063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A4"/>
    <w:multiLevelType w:val="hybridMultilevel"/>
    <w:tmpl w:val="133677C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11052CF"/>
    <w:multiLevelType w:val="hybridMultilevel"/>
    <w:tmpl w:val="3284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E0968"/>
    <w:multiLevelType w:val="hybridMultilevel"/>
    <w:tmpl w:val="24182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75D35"/>
    <w:multiLevelType w:val="hybridMultilevel"/>
    <w:tmpl w:val="FF7E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91059"/>
    <w:multiLevelType w:val="hybridMultilevel"/>
    <w:tmpl w:val="48740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E1165"/>
    <w:multiLevelType w:val="hybridMultilevel"/>
    <w:tmpl w:val="F1D28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DF1E89"/>
    <w:multiLevelType w:val="hybridMultilevel"/>
    <w:tmpl w:val="3D9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E72"/>
    <w:multiLevelType w:val="hybridMultilevel"/>
    <w:tmpl w:val="B418B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DB2BF6"/>
    <w:multiLevelType w:val="hybridMultilevel"/>
    <w:tmpl w:val="15025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3E87638"/>
    <w:multiLevelType w:val="hybridMultilevel"/>
    <w:tmpl w:val="28F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93AD7"/>
    <w:multiLevelType w:val="hybridMultilevel"/>
    <w:tmpl w:val="1B4E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439B2"/>
    <w:multiLevelType w:val="hybridMultilevel"/>
    <w:tmpl w:val="4628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
  </w:num>
  <w:num w:numId="5">
    <w:abstractNumId w:val="1"/>
  </w:num>
  <w:num w:numId="6">
    <w:abstractNumId w:val="5"/>
  </w:num>
  <w:num w:numId="7">
    <w:abstractNumId w:val="7"/>
  </w:num>
  <w:num w:numId="8">
    <w:abstractNumId w:val="4"/>
  </w:num>
  <w:num w:numId="9">
    <w:abstractNumId w:val="8"/>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3F"/>
    <w:rsid w:val="00030CFE"/>
    <w:rsid w:val="000833C4"/>
    <w:rsid w:val="000B021D"/>
    <w:rsid w:val="000D3128"/>
    <w:rsid w:val="000D6F6A"/>
    <w:rsid w:val="000F0FA3"/>
    <w:rsid w:val="00117303"/>
    <w:rsid w:val="00160DDD"/>
    <w:rsid w:val="00163B77"/>
    <w:rsid w:val="00247578"/>
    <w:rsid w:val="0029110C"/>
    <w:rsid w:val="002935FE"/>
    <w:rsid w:val="003B6B7E"/>
    <w:rsid w:val="00464BFB"/>
    <w:rsid w:val="00467ACE"/>
    <w:rsid w:val="004B04D7"/>
    <w:rsid w:val="004E1DAB"/>
    <w:rsid w:val="0054051A"/>
    <w:rsid w:val="005C701C"/>
    <w:rsid w:val="005E4CFB"/>
    <w:rsid w:val="005F6985"/>
    <w:rsid w:val="00624AA2"/>
    <w:rsid w:val="006C7523"/>
    <w:rsid w:val="00796581"/>
    <w:rsid w:val="008277C4"/>
    <w:rsid w:val="00884867"/>
    <w:rsid w:val="00920086"/>
    <w:rsid w:val="00945E3F"/>
    <w:rsid w:val="00956108"/>
    <w:rsid w:val="009D0236"/>
    <w:rsid w:val="009F14BA"/>
    <w:rsid w:val="00A06288"/>
    <w:rsid w:val="00A33C86"/>
    <w:rsid w:val="00A40E25"/>
    <w:rsid w:val="00AD0FAA"/>
    <w:rsid w:val="00BA6F89"/>
    <w:rsid w:val="00BE197C"/>
    <w:rsid w:val="00BF036D"/>
    <w:rsid w:val="00C55785"/>
    <w:rsid w:val="00C83A34"/>
    <w:rsid w:val="00CD112E"/>
    <w:rsid w:val="00D05308"/>
    <w:rsid w:val="00D175A7"/>
    <w:rsid w:val="00D54099"/>
    <w:rsid w:val="00D81767"/>
    <w:rsid w:val="00DC58DF"/>
    <w:rsid w:val="00DE5B65"/>
    <w:rsid w:val="00E64D81"/>
    <w:rsid w:val="00F51919"/>
    <w:rsid w:val="00FA25AC"/>
    <w:rsid w:val="00FF3071"/>
    <w:rsid w:val="00F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DD2B6"/>
  <w15:chartTrackingRefBased/>
  <w15:docId w15:val="{D2699844-81E5-40C9-936A-6DC2C036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FA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D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AC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51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19"/>
  </w:style>
  <w:style w:type="paragraph" w:styleId="Footer">
    <w:name w:val="footer"/>
    <w:basedOn w:val="Normal"/>
    <w:link w:val="FooterChar"/>
    <w:uiPriority w:val="99"/>
    <w:unhideWhenUsed/>
    <w:rsid w:val="00F51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919"/>
  </w:style>
  <w:style w:type="paragraph" w:styleId="ListParagraph">
    <w:name w:val="List Paragraph"/>
    <w:basedOn w:val="Normal"/>
    <w:uiPriority w:val="34"/>
    <w:qFormat/>
    <w:rsid w:val="005F6985"/>
    <w:pPr>
      <w:ind w:left="720"/>
      <w:contextualSpacing/>
    </w:pPr>
  </w:style>
  <w:style w:type="character" w:styleId="IntenseEmphasis">
    <w:name w:val="Intense Emphasis"/>
    <w:basedOn w:val="DefaultParagraphFont"/>
    <w:uiPriority w:val="21"/>
    <w:qFormat/>
    <w:rsid w:val="009D0236"/>
    <w:rPr>
      <w:i/>
      <w:iCs/>
      <w:color w:val="5B9BD5" w:themeColor="accent1"/>
    </w:rPr>
  </w:style>
  <w:style w:type="paragraph" w:styleId="NoSpacing">
    <w:name w:val="No Spacing"/>
    <w:uiPriority w:val="1"/>
    <w:qFormat/>
    <w:rsid w:val="004B0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Holden</dc:creator>
  <cp:keywords/>
  <dc:description/>
  <cp:lastModifiedBy>Colin Holden</cp:lastModifiedBy>
  <cp:revision>25</cp:revision>
  <dcterms:created xsi:type="dcterms:W3CDTF">2021-04-12T12:46:00Z</dcterms:created>
  <dcterms:modified xsi:type="dcterms:W3CDTF">2021-05-12T11:11:00Z</dcterms:modified>
</cp:coreProperties>
</file>